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CFF" w:rsidRPr="003F56AB" w:rsidRDefault="00DF6CFF" w:rsidP="00DF6CFF">
      <w:pPr>
        <w:tabs>
          <w:tab w:val="left" w:pos="11482"/>
        </w:tabs>
        <w:rPr>
          <w:rFonts w:ascii="Times New Roman" w:hAnsi="Times New Roman"/>
          <w:b/>
          <w:sz w:val="24"/>
          <w:szCs w:val="24"/>
        </w:rPr>
      </w:pPr>
      <w:r w:rsidRPr="003F56AB">
        <w:rPr>
          <w:rFonts w:ascii="Times New Roman" w:hAnsi="Times New Roman"/>
          <w:b/>
          <w:sz w:val="24"/>
          <w:szCs w:val="24"/>
        </w:rPr>
        <w:t>Table S</w:t>
      </w:r>
      <w:r>
        <w:rPr>
          <w:rFonts w:ascii="Times New Roman" w:hAnsi="Times New Roman" w:hint="eastAsia"/>
          <w:b/>
          <w:sz w:val="24"/>
          <w:szCs w:val="24"/>
        </w:rPr>
        <w:t xml:space="preserve">2 </w:t>
      </w:r>
      <w:r w:rsidRPr="003F56AB">
        <w:rPr>
          <w:rFonts w:ascii="Times New Roman" w:hAnsi="Times New Roman"/>
          <w:b/>
          <w:sz w:val="24"/>
          <w:szCs w:val="24"/>
        </w:rPr>
        <w:t>Associations of health insurance type and reimbursement rate with the risks of breast cancer-specific mortality and overall mortality among patients with invasive breast cancer, with additionally adjustment for residenc</w:t>
      </w:r>
      <w:r>
        <w:rPr>
          <w:rFonts w:ascii="Times New Roman" w:hAnsi="Times New Roman"/>
          <w:b/>
          <w:sz w:val="24"/>
          <w:szCs w:val="24"/>
        </w:rPr>
        <w:t>e</w:t>
      </w:r>
      <w:r w:rsidRPr="003F56AB">
        <w:rPr>
          <w:rFonts w:ascii="Times New Roman" w:hAnsi="Times New Roman"/>
          <w:b/>
          <w:sz w:val="24"/>
          <w:szCs w:val="24"/>
        </w:rPr>
        <w:t xml:space="preserve"> area: a prospective breast cancer cohort in China, 2009-201</w:t>
      </w:r>
      <w:r>
        <w:rPr>
          <w:rFonts w:ascii="Times New Roman" w:hAnsi="Times New Roman" w:hint="eastAsia"/>
          <w:b/>
          <w:sz w:val="24"/>
          <w:szCs w:val="24"/>
        </w:rPr>
        <w:t>6</w:t>
      </w:r>
      <w:r w:rsidRPr="003F56AB">
        <w:rPr>
          <w:rFonts w:ascii="Times New Roman" w:hAnsi="Times New Roman"/>
          <w:b/>
          <w:sz w:val="24"/>
          <w:szCs w:val="24"/>
        </w:rPr>
        <w:t>.</w:t>
      </w:r>
    </w:p>
    <w:tbl>
      <w:tblPr>
        <w:tblW w:w="4903" w:type="pct"/>
        <w:jc w:val="center"/>
        <w:tblLook w:val="04A0" w:firstRow="1" w:lastRow="0" w:firstColumn="1" w:lastColumn="0" w:noHBand="0" w:noVBand="1"/>
      </w:tblPr>
      <w:tblGrid>
        <w:gridCol w:w="2524"/>
        <w:gridCol w:w="1142"/>
        <w:gridCol w:w="984"/>
        <w:gridCol w:w="851"/>
        <w:gridCol w:w="1785"/>
        <w:gridCol w:w="1065"/>
        <w:gridCol w:w="1832"/>
        <w:gridCol w:w="998"/>
        <w:gridCol w:w="1862"/>
        <w:gridCol w:w="856"/>
      </w:tblGrid>
      <w:tr w:rsidR="00DF6CFF" w:rsidRPr="003F56AB" w:rsidTr="00DB6F05">
        <w:trPr>
          <w:trHeight w:val="298"/>
          <w:jc w:val="center"/>
        </w:trPr>
        <w:tc>
          <w:tcPr>
            <w:tcW w:w="90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</w:p>
          <w:p w:rsidR="00DF6CFF" w:rsidRPr="003F56AB" w:rsidRDefault="00DF6CFF" w:rsidP="00DB6F0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N</w:t>
            </w:r>
            <w:r>
              <w:rPr>
                <w:rFonts w:ascii="Times New Roman" w:hAnsi="Times New Roman" w:hint="eastAsia"/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3F56AB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of patients</w:t>
            </w: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</w:p>
          <w:p w:rsidR="00DF6CFF" w:rsidRPr="003F56AB" w:rsidRDefault="00DF6CFF" w:rsidP="00DB6F0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3F56AB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N of events</w:t>
            </w:r>
          </w:p>
        </w:tc>
        <w:tc>
          <w:tcPr>
            <w:tcW w:w="30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F56AB">
              <w:rPr>
                <w:rFonts w:ascii="Times New Roman" w:hAnsi="Times New Roman"/>
                <w:b/>
                <w:sz w:val="24"/>
                <w:szCs w:val="24"/>
              </w:rPr>
              <w:t>Rate</w:t>
            </w: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F56AB">
              <w:rPr>
                <w:rFonts w:ascii="Times New Roman" w:hAnsi="Times New Roman"/>
                <w:b/>
                <w:sz w:val="24"/>
                <w:szCs w:val="24"/>
              </w:rPr>
              <w:t>Model A</w:t>
            </w:r>
            <w:r w:rsidRPr="003F56AB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0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F56AB">
              <w:rPr>
                <w:rFonts w:ascii="Times New Roman" w:hAnsi="Times New Roman"/>
                <w:b/>
                <w:sz w:val="24"/>
                <w:szCs w:val="24"/>
              </w:rPr>
              <w:t>Model B</w:t>
            </w:r>
            <w:r w:rsidRPr="003F56AB">
              <w:rPr>
                <w:rFonts w:ascii="Times New Roman" w:hAnsi="Times New Roman" w:hint="eastAsia"/>
                <w:b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9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F56AB">
              <w:rPr>
                <w:rFonts w:ascii="Times New Roman" w:hAnsi="Times New Roman"/>
                <w:b/>
                <w:sz w:val="24"/>
                <w:szCs w:val="24"/>
              </w:rPr>
              <w:t>Model C</w:t>
            </w:r>
            <w:r w:rsidRPr="003F56AB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§</w:t>
            </w:r>
          </w:p>
        </w:tc>
      </w:tr>
      <w:tr w:rsidR="00DF6CFF" w:rsidRPr="003F56AB" w:rsidTr="00DB6F05">
        <w:trPr>
          <w:trHeight w:val="331"/>
          <w:jc w:val="center"/>
        </w:trPr>
        <w:tc>
          <w:tcPr>
            <w:tcW w:w="908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F6CFF" w:rsidRPr="003F56AB" w:rsidRDefault="00DF6CFF" w:rsidP="00DB6F05">
            <w:pPr>
              <w:widowControl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11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F6CFF" w:rsidRPr="003F56AB" w:rsidRDefault="00DF6CFF" w:rsidP="00DB6F05">
            <w:pPr>
              <w:widowControl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F6CFF" w:rsidRPr="003F56AB" w:rsidRDefault="00DF6CFF" w:rsidP="00DB6F05">
            <w:pPr>
              <w:widowControl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F6CFF" w:rsidRPr="003F56AB" w:rsidRDefault="00DF6CFF" w:rsidP="00DB6F05">
            <w:pPr>
              <w:widowControl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F56AB">
              <w:rPr>
                <w:rFonts w:ascii="Times New Roman" w:hAnsi="Times New Roman"/>
                <w:b/>
                <w:sz w:val="24"/>
                <w:szCs w:val="24"/>
              </w:rPr>
              <w:t>HR (95% CI)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6CFF" w:rsidRPr="00D024DD" w:rsidRDefault="00DF6CFF" w:rsidP="00DB6F05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024DD">
              <w:rPr>
                <w:rFonts w:ascii="Times New Roman" w:hAnsi="Times New Roman" w:hint="eastAsia"/>
                <w:b/>
                <w:i/>
                <w:sz w:val="24"/>
                <w:szCs w:val="24"/>
              </w:rPr>
              <w:t>P</w:t>
            </w:r>
          </w:p>
        </w:tc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F56AB">
              <w:rPr>
                <w:rFonts w:ascii="Times New Roman" w:hAnsi="Times New Roman"/>
                <w:b/>
                <w:sz w:val="24"/>
                <w:szCs w:val="24"/>
              </w:rPr>
              <w:t>HR (95% CI)</w:t>
            </w:r>
          </w:p>
        </w:tc>
        <w:tc>
          <w:tcPr>
            <w:tcW w:w="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CFF" w:rsidRPr="00D024DD" w:rsidRDefault="00DF6CFF" w:rsidP="00DB6F05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024DD">
              <w:rPr>
                <w:rFonts w:ascii="Times New Roman" w:hAnsi="Times New Roman" w:hint="eastAsia"/>
                <w:b/>
                <w:i/>
                <w:sz w:val="24"/>
                <w:szCs w:val="24"/>
              </w:rPr>
              <w:t>P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F56AB">
              <w:rPr>
                <w:rFonts w:ascii="Times New Roman" w:hAnsi="Times New Roman"/>
                <w:b/>
                <w:sz w:val="24"/>
                <w:szCs w:val="24"/>
              </w:rPr>
              <w:t>HR (95% CI)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F6CFF" w:rsidRPr="00D024DD" w:rsidRDefault="00DF6CFF" w:rsidP="00DB6F05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024DD">
              <w:rPr>
                <w:rFonts w:ascii="Times New Roman" w:hAnsi="Times New Roman" w:hint="eastAsia"/>
                <w:b/>
                <w:i/>
                <w:sz w:val="24"/>
                <w:szCs w:val="24"/>
              </w:rPr>
              <w:t>P</w:t>
            </w:r>
          </w:p>
        </w:tc>
      </w:tr>
      <w:tr w:rsidR="00DF6CFF" w:rsidRPr="003F56AB" w:rsidTr="00DB6F05">
        <w:trPr>
          <w:trHeight w:val="77"/>
          <w:jc w:val="center"/>
        </w:trPr>
        <w:tc>
          <w:tcPr>
            <w:tcW w:w="1318" w:type="pct"/>
            <w:gridSpan w:val="2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F56AB">
              <w:rPr>
                <w:rFonts w:ascii="Times New Roman" w:hAnsi="Times New Roman"/>
                <w:b/>
                <w:sz w:val="24"/>
                <w:szCs w:val="24"/>
              </w:rPr>
              <w:t>Breast cancer-specific mortality</w:t>
            </w:r>
          </w:p>
        </w:tc>
        <w:tc>
          <w:tcPr>
            <w:tcW w:w="354" w:type="pct"/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" w:type="pct"/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6CFF" w:rsidRPr="003F56AB" w:rsidTr="00DB6F05">
        <w:trPr>
          <w:jc w:val="center"/>
        </w:trPr>
        <w:tc>
          <w:tcPr>
            <w:tcW w:w="908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  <w:lang w:val="sv-SE"/>
              </w:rPr>
              <w:t>By i</w:t>
            </w:r>
            <w:proofErr w:type="spellStart"/>
            <w:r w:rsidRPr="003F56AB">
              <w:rPr>
                <w:rFonts w:ascii="Times New Roman" w:hAnsi="Times New Roman"/>
                <w:sz w:val="24"/>
                <w:szCs w:val="24"/>
              </w:rPr>
              <w:t>nsurance</w:t>
            </w:r>
            <w:proofErr w:type="spellEnd"/>
            <w:r w:rsidRPr="003F56AB">
              <w:rPr>
                <w:rFonts w:ascii="Times New Roman" w:hAnsi="Times New Roman"/>
                <w:sz w:val="24"/>
                <w:szCs w:val="24"/>
              </w:rPr>
              <w:t xml:space="preserve"> type</w:t>
            </w:r>
          </w:p>
        </w:tc>
        <w:tc>
          <w:tcPr>
            <w:tcW w:w="411" w:type="pct"/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" w:type="pct"/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6CFF" w:rsidRPr="003F56AB" w:rsidTr="00DB6F05">
        <w:trPr>
          <w:jc w:val="center"/>
        </w:trPr>
        <w:tc>
          <w:tcPr>
            <w:tcW w:w="908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 xml:space="preserve">  Urban schemes</w:t>
            </w:r>
          </w:p>
        </w:tc>
        <w:tc>
          <w:tcPr>
            <w:tcW w:w="411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5,320</w:t>
            </w:r>
          </w:p>
        </w:tc>
        <w:tc>
          <w:tcPr>
            <w:tcW w:w="354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211</w:t>
            </w:r>
          </w:p>
        </w:tc>
        <w:tc>
          <w:tcPr>
            <w:tcW w:w="306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42" w:type="pct"/>
            <w:tcBorders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3F56AB">
              <w:rPr>
                <w:rFonts w:ascii="Times New Roman" w:hAnsi="Times New Roman"/>
                <w:sz w:val="24"/>
              </w:rPr>
              <w:t>00</w:t>
            </w:r>
          </w:p>
        </w:tc>
        <w:tc>
          <w:tcPr>
            <w:tcW w:w="383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lef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3F56AB">
              <w:rPr>
                <w:rFonts w:ascii="Times New Roman" w:hAnsi="Times New Roman"/>
                <w:sz w:val="24"/>
              </w:rPr>
              <w:t>00</w:t>
            </w:r>
          </w:p>
        </w:tc>
        <w:tc>
          <w:tcPr>
            <w:tcW w:w="30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</w:tr>
      <w:tr w:rsidR="00DF6CFF" w:rsidRPr="003F56AB" w:rsidTr="00DB6F05">
        <w:trPr>
          <w:trHeight w:val="194"/>
          <w:jc w:val="center"/>
        </w:trPr>
        <w:tc>
          <w:tcPr>
            <w:tcW w:w="908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 xml:space="preserve">  Rural schemes</w:t>
            </w:r>
          </w:p>
        </w:tc>
        <w:tc>
          <w:tcPr>
            <w:tcW w:w="411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1,962</w:t>
            </w:r>
          </w:p>
        </w:tc>
        <w:tc>
          <w:tcPr>
            <w:tcW w:w="354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306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642" w:type="pct"/>
            <w:tcBorders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27</w:t>
            </w:r>
            <w:r>
              <w:rPr>
                <w:rFonts w:ascii="Times New Roman" w:hAnsi="Times New Roman"/>
                <w:sz w:val="24"/>
              </w:rPr>
              <w:t xml:space="preserve"> (</w:t>
            </w:r>
            <w:r>
              <w:rPr>
                <w:rFonts w:ascii="Times New Roman" w:hAnsi="Times New Roman" w:hint="eastAsia"/>
                <w:sz w:val="24"/>
              </w:rPr>
              <w:t>0.97</w:t>
            </w:r>
            <w:r w:rsidRPr="003F56AB">
              <w:rPr>
                <w:rFonts w:ascii="Times New Roman" w:hAnsi="Times New Roman"/>
                <w:sz w:val="24"/>
              </w:rPr>
              <w:t>-1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65</w:t>
            </w:r>
            <w:r w:rsidRPr="003F56AB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383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0.079</w:t>
            </w: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hint="eastAsia"/>
                <w:sz w:val="24"/>
                <w:szCs w:val="24"/>
              </w:rPr>
              <w:t>11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hint="eastAsia"/>
                <w:sz w:val="24"/>
                <w:szCs w:val="24"/>
              </w:rPr>
              <w:t>46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0.433</w:t>
            </w:r>
          </w:p>
        </w:tc>
        <w:tc>
          <w:tcPr>
            <w:tcW w:w="670" w:type="pct"/>
            <w:tcBorders>
              <w:lef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 w:hint="eastAsia"/>
                <w:sz w:val="24"/>
              </w:rPr>
              <w:t>4</w:t>
            </w:r>
            <w:r w:rsidRPr="003F56AB">
              <w:rPr>
                <w:rFonts w:ascii="Times New Roman" w:hAnsi="Times New Roman"/>
                <w:sz w:val="24"/>
              </w:rPr>
              <w:t xml:space="preserve"> (0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3F56AB">
              <w:rPr>
                <w:rFonts w:ascii="Times New Roman" w:hAnsi="Times New Roman"/>
                <w:sz w:val="24"/>
              </w:rPr>
              <w:t>8</w:t>
            </w:r>
            <w:r>
              <w:rPr>
                <w:rFonts w:ascii="Times New Roman" w:hAnsi="Times New Roman" w:hint="eastAsia"/>
                <w:sz w:val="24"/>
              </w:rPr>
              <w:t>6</w:t>
            </w:r>
            <w:r w:rsidRPr="003F56AB">
              <w:rPr>
                <w:rFonts w:ascii="Times New Roman" w:hAnsi="Times New Roman"/>
                <w:sz w:val="24"/>
              </w:rPr>
              <w:t>-1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50</w:t>
            </w:r>
            <w:r w:rsidRPr="003F56AB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30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0.366</w:t>
            </w:r>
          </w:p>
        </w:tc>
      </w:tr>
      <w:tr w:rsidR="00DF6CFF" w:rsidRPr="003F56AB" w:rsidTr="00DB6F05">
        <w:trPr>
          <w:trHeight w:val="194"/>
          <w:jc w:val="center"/>
        </w:trPr>
        <w:tc>
          <w:tcPr>
            <w:tcW w:w="908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By reimbursement rate</w:t>
            </w:r>
          </w:p>
        </w:tc>
        <w:tc>
          <w:tcPr>
            <w:tcW w:w="411" w:type="pct"/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" w:type="pct"/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83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0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</w:tr>
      <w:tr w:rsidR="00DF6CFF" w:rsidRPr="003F56AB" w:rsidTr="00DB6F05">
        <w:trPr>
          <w:trHeight w:val="194"/>
          <w:jc w:val="center"/>
        </w:trPr>
        <w:tc>
          <w:tcPr>
            <w:tcW w:w="908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 xml:space="preserve">  70%-100%</w:t>
            </w:r>
          </w:p>
        </w:tc>
        <w:tc>
          <w:tcPr>
            <w:tcW w:w="411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3,586</w:t>
            </w:r>
          </w:p>
        </w:tc>
        <w:tc>
          <w:tcPr>
            <w:tcW w:w="354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306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642" w:type="pct"/>
            <w:tcBorders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3F56AB">
              <w:rPr>
                <w:rFonts w:ascii="Times New Roman" w:hAnsi="Times New Roman"/>
                <w:sz w:val="24"/>
              </w:rPr>
              <w:t>00</w:t>
            </w:r>
          </w:p>
        </w:tc>
        <w:tc>
          <w:tcPr>
            <w:tcW w:w="383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lef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3F56AB">
              <w:rPr>
                <w:rFonts w:ascii="Times New Roman" w:hAnsi="Times New Roman"/>
                <w:sz w:val="24"/>
              </w:rPr>
              <w:t>00</w:t>
            </w:r>
          </w:p>
        </w:tc>
        <w:tc>
          <w:tcPr>
            <w:tcW w:w="30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</w:tr>
      <w:tr w:rsidR="00DF6CFF" w:rsidRPr="003F56AB" w:rsidTr="00DB6F05">
        <w:trPr>
          <w:trHeight w:val="194"/>
          <w:jc w:val="center"/>
        </w:trPr>
        <w:tc>
          <w:tcPr>
            <w:tcW w:w="908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 xml:space="preserve">  0-69%</w:t>
            </w:r>
          </w:p>
        </w:tc>
        <w:tc>
          <w:tcPr>
            <w:tcW w:w="411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3,276</w:t>
            </w:r>
          </w:p>
        </w:tc>
        <w:tc>
          <w:tcPr>
            <w:tcW w:w="354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  <w:tc>
          <w:tcPr>
            <w:tcW w:w="306" w:type="pct"/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42" w:type="pct"/>
            <w:tcBorders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35</w:t>
            </w:r>
            <w:r w:rsidRPr="003F56AB">
              <w:rPr>
                <w:rFonts w:ascii="Times New Roman" w:hAnsi="Times New Roman"/>
                <w:sz w:val="24"/>
              </w:rPr>
              <w:t xml:space="preserve"> (</w:t>
            </w:r>
            <w:r>
              <w:rPr>
                <w:rFonts w:ascii="Times New Roman" w:hAnsi="Times New Roman" w:hint="eastAsia"/>
                <w:sz w:val="24"/>
              </w:rPr>
              <w:t>1.03</w:t>
            </w:r>
            <w:r w:rsidRPr="003F56AB">
              <w:rPr>
                <w:rFonts w:ascii="Times New Roman" w:hAnsi="Times New Roman"/>
                <w:sz w:val="24"/>
              </w:rPr>
              <w:t>-1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78</w:t>
            </w:r>
            <w:r w:rsidRPr="003F56AB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383" w:type="pct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0.031</w:t>
            </w: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.3</w:t>
            </w: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hint="eastAsia"/>
                <w:sz w:val="24"/>
                <w:szCs w:val="24"/>
              </w:rPr>
              <w:t>1.00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hint="eastAsia"/>
                <w:sz w:val="24"/>
                <w:szCs w:val="24"/>
              </w:rPr>
              <w:t>78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0.053</w:t>
            </w:r>
          </w:p>
        </w:tc>
        <w:tc>
          <w:tcPr>
            <w:tcW w:w="670" w:type="pct"/>
            <w:tcBorders>
              <w:left w:val="single" w:sz="4" w:space="0" w:color="auto"/>
            </w:tcBorders>
            <w:shd w:val="clear" w:color="auto" w:fill="DBE5F1" w:themeFill="accent1" w:themeFillTint="33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26</w:t>
            </w:r>
            <w:r w:rsidRPr="003F56AB">
              <w:rPr>
                <w:rFonts w:ascii="Times New Roman" w:hAnsi="Times New Roman"/>
                <w:sz w:val="24"/>
              </w:rPr>
              <w:t xml:space="preserve"> (0</w:t>
            </w:r>
            <w:r>
              <w:rPr>
                <w:rFonts w:ascii="Times New Roman" w:hAnsi="Times New Roman"/>
                <w:sz w:val="24"/>
              </w:rPr>
              <w:t>.9</w:t>
            </w:r>
            <w:r>
              <w:rPr>
                <w:rFonts w:ascii="Times New Roman" w:hAnsi="Times New Roman" w:hint="eastAsia"/>
                <w:sz w:val="24"/>
              </w:rPr>
              <w:t>3</w:t>
            </w:r>
            <w:r w:rsidRPr="003F56AB">
              <w:rPr>
                <w:rFonts w:ascii="Times New Roman" w:hAnsi="Times New Roman"/>
                <w:sz w:val="24"/>
              </w:rPr>
              <w:t>-1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70</w:t>
            </w:r>
            <w:r w:rsidRPr="003F56AB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308" w:type="pct"/>
            <w:tcBorders>
              <w:left w:val="single" w:sz="4" w:space="0" w:color="auto"/>
            </w:tcBorders>
            <w:shd w:val="clear" w:color="auto" w:fill="DBE5F1" w:themeFill="accent1" w:themeFillTint="33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0.129</w:t>
            </w:r>
          </w:p>
        </w:tc>
      </w:tr>
      <w:tr w:rsidR="00DF6CFF" w:rsidRPr="003F56AB" w:rsidTr="00DB6F05">
        <w:trPr>
          <w:jc w:val="center"/>
        </w:trPr>
        <w:tc>
          <w:tcPr>
            <w:tcW w:w="908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F56AB">
              <w:rPr>
                <w:rFonts w:ascii="Times New Roman" w:hAnsi="Times New Roman"/>
                <w:b/>
                <w:sz w:val="24"/>
                <w:szCs w:val="24"/>
              </w:rPr>
              <w:t>Overall mortality</w:t>
            </w:r>
          </w:p>
        </w:tc>
        <w:tc>
          <w:tcPr>
            <w:tcW w:w="411" w:type="pct"/>
          </w:tcPr>
          <w:p w:rsidR="00DF6CFF" w:rsidRPr="003F56AB" w:rsidRDefault="00DF6CFF" w:rsidP="00DB6F0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" w:type="pct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" w:type="pct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" w:type="pct"/>
            <w:tcBorders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83" w:type="pct"/>
            <w:tcBorders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lef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08" w:type="pct"/>
            <w:tcBorders>
              <w:lef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</w:tr>
      <w:tr w:rsidR="00DF6CFF" w:rsidRPr="003F56AB" w:rsidTr="00DB6F05">
        <w:trPr>
          <w:jc w:val="center"/>
        </w:trPr>
        <w:tc>
          <w:tcPr>
            <w:tcW w:w="908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By insurance type</w:t>
            </w:r>
          </w:p>
        </w:tc>
        <w:tc>
          <w:tcPr>
            <w:tcW w:w="411" w:type="pct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" w:type="pct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" w:type="pct"/>
            <w:tcBorders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83" w:type="pct"/>
            <w:tcBorders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lef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08" w:type="pct"/>
            <w:tcBorders>
              <w:lef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</w:tr>
      <w:tr w:rsidR="00DF6CFF" w:rsidRPr="003F56AB" w:rsidTr="00DB6F05">
        <w:trPr>
          <w:jc w:val="center"/>
        </w:trPr>
        <w:tc>
          <w:tcPr>
            <w:tcW w:w="908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 xml:space="preserve">  Urban schemes</w:t>
            </w:r>
          </w:p>
        </w:tc>
        <w:tc>
          <w:tcPr>
            <w:tcW w:w="411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5,320</w:t>
            </w:r>
          </w:p>
        </w:tc>
        <w:tc>
          <w:tcPr>
            <w:tcW w:w="354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248</w:t>
            </w:r>
          </w:p>
        </w:tc>
        <w:tc>
          <w:tcPr>
            <w:tcW w:w="306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642" w:type="pct"/>
            <w:tcBorders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3F56AB">
              <w:rPr>
                <w:rFonts w:ascii="Times New Roman" w:hAnsi="Times New Roman"/>
                <w:sz w:val="24"/>
              </w:rPr>
              <w:t>00</w:t>
            </w:r>
          </w:p>
        </w:tc>
        <w:tc>
          <w:tcPr>
            <w:tcW w:w="383" w:type="pct"/>
            <w:tcBorders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lef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3F56AB">
              <w:rPr>
                <w:rFonts w:ascii="Times New Roman" w:hAnsi="Times New Roman"/>
                <w:sz w:val="24"/>
              </w:rPr>
              <w:t>00</w:t>
            </w:r>
          </w:p>
        </w:tc>
        <w:tc>
          <w:tcPr>
            <w:tcW w:w="308" w:type="pct"/>
            <w:tcBorders>
              <w:lef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</w:tr>
      <w:tr w:rsidR="00DF6CFF" w:rsidRPr="003F56AB" w:rsidTr="00DB6F05">
        <w:trPr>
          <w:jc w:val="center"/>
        </w:trPr>
        <w:tc>
          <w:tcPr>
            <w:tcW w:w="908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 xml:space="preserve">  Rural schemes</w:t>
            </w:r>
          </w:p>
        </w:tc>
        <w:tc>
          <w:tcPr>
            <w:tcW w:w="411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1,962</w:t>
            </w:r>
          </w:p>
        </w:tc>
        <w:tc>
          <w:tcPr>
            <w:tcW w:w="354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306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642" w:type="pct"/>
            <w:tcBorders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19</w:t>
            </w:r>
            <w:r w:rsidRPr="003F56AB">
              <w:rPr>
                <w:rFonts w:ascii="Times New Roman" w:hAnsi="Times New Roman"/>
                <w:sz w:val="24"/>
              </w:rPr>
              <w:t xml:space="preserve"> (0</w:t>
            </w:r>
            <w:r>
              <w:rPr>
                <w:rFonts w:ascii="Times New Roman" w:hAnsi="Times New Roman"/>
                <w:sz w:val="24"/>
              </w:rPr>
              <w:t>.9</w:t>
            </w:r>
            <w:r>
              <w:rPr>
                <w:rFonts w:ascii="Times New Roman" w:hAnsi="Times New Roman" w:hint="eastAsia"/>
                <w:sz w:val="24"/>
              </w:rPr>
              <w:t>3</w:t>
            </w:r>
            <w:r w:rsidRPr="003F56AB">
              <w:rPr>
                <w:rFonts w:ascii="Times New Roman" w:hAnsi="Times New Roman"/>
                <w:sz w:val="24"/>
              </w:rPr>
              <w:t>-1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53</w:t>
            </w:r>
            <w:r w:rsidRPr="003F56AB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383" w:type="pct"/>
            <w:tcBorders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0.169</w:t>
            </w: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hint="eastAsia"/>
                <w:sz w:val="24"/>
                <w:szCs w:val="24"/>
              </w:rPr>
              <w:t>06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hint="eastAsia"/>
                <w:sz w:val="24"/>
                <w:szCs w:val="24"/>
              </w:rPr>
              <w:t>37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0.648</w:t>
            </w:r>
          </w:p>
        </w:tc>
        <w:tc>
          <w:tcPr>
            <w:tcW w:w="670" w:type="pct"/>
            <w:tcBorders>
              <w:lef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06</w:t>
            </w:r>
            <w:r w:rsidRPr="003F56AB">
              <w:rPr>
                <w:rFonts w:ascii="Times New Roman" w:hAnsi="Times New Roman"/>
                <w:sz w:val="24"/>
              </w:rPr>
              <w:t xml:space="preserve"> (0</w:t>
            </w:r>
            <w:r>
              <w:rPr>
                <w:rFonts w:ascii="Times New Roman" w:hAnsi="Times New Roman"/>
                <w:sz w:val="24"/>
              </w:rPr>
              <w:t>.8</w:t>
            </w:r>
            <w:r>
              <w:rPr>
                <w:rFonts w:ascii="Times New Roman" w:hAnsi="Times New Roman" w:hint="eastAsia"/>
                <w:sz w:val="24"/>
              </w:rPr>
              <w:t>2</w:t>
            </w:r>
            <w:r w:rsidRPr="003F56AB">
              <w:rPr>
                <w:rFonts w:ascii="Times New Roman" w:hAnsi="Times New Roman"/>
                <w:sz w:val="24"/>
              </w:rPr>
              <w:t>-1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38</w:t>
            </w:r>
            <w:r w:rsidRPr="003F56AB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308" w:type="pct"/>
            <w:tcBorders>
              <w:lef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0.636</w:t>
            </w:r>
          </w:p>
        </w:tc>
      </w:tr>
      <w:tr w:rsidR="00DF6CFF" w:rsidRPr="003F56AB" w:rsidTr="00DB6F05">
        <w:trPr>
          <w:jc w:val="center"/>
        </w:trPr>
        <w:tc>
          <w:tcPr>
            <w:tcW w:w="908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By reimbursement rate</w:t>
            </w:r>
          </w:p>
        </w:tc>
        <w:tc>
          <w:tcPr>
            <w:tcW w:w="411" w:type="pct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" w:type="pct"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" w:type="pct"/>
            <w:tcBorders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83" w:type="pct"/>
            <w:tcBorders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lef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08" w:type="pct"/>
            <w:tcBorders>
              <w:lef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</w:tr>
      <w:tr w:rsidR="00DF6CFF" w:rsidRPr="003F56AB" w:rsidTr="00DB6F05">
        <w:trPr>
          <w:jc w:val="center"/>
        </w:trPr>
        <w:tc>
          <w:tcPr>
            <w:tcW w:w="908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 xml:space="preserve">  70%-100%</w:t>
            </w:r>
          </w:p>
        </w:tc>
        <w:tc>
          <w:tcPr>
            <w:tcW w:w="411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3,586</w:t>
            </w:r>
          </w:p>
        </w:tc>
        <w:tc>
          <w:tcPr>
            <w:tcW w:w="354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306" w:type="pct"/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642" w:type="pct"/>
            <w:tcBorders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3F56AB">
              <w:rPr>
                <w:rFonts w:ascii="Times New Roman" w:hAnsi="Times New Roman"/>
                <w:sz w:val="24"/>
              </w:rPr>
              <w:t>00</w:t>
            </w:r>
          </w:p>
        </w:tc>
        <w:tc>
          <w:tcPr>
            <w:tcW w:w="383" w:type="pct"/>
            <w:tcBorders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9" w:type="pc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359" w:type="pct"/>
            <w:tcBorders>
              <w:left w:val="single" w:sz="4" w:space="0" w:color="auto"/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lef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3F56AB">
              <w:rPr>
                <w:rFonts w:ascii="Times New Roman" w:hAnsi="Times New Roman"/>
                <w:sz w:val="24"/>
              </w:rPr>
              <w:t>00</w:t>
            </w:r>
          </w:p>
        </w:tc>
        <w:tc>
          <w:tcPr>
            <w:tcW w:w="308" w:type="pct"/>
            <w:tcBorders>
              <w:lef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</w:p>
        </w:tc>
      </w:tr>
      <w:tr w:rsidR="00DF6CFF" w:rsidRPr="003F56AB" w:rsidTr="00DB6F05">
        <w:trPr>
          <w:jc w:val="center"/>
        </w:trPr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 xml:space="preserve">  0-69%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3,276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192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46</w:t>
            </w:r>
            <w:r w:rsidRPr="003F56AB">
              <w:rPr>
                <w:rFonts w:ascii="Times New Roman" w:hAnsi="Times New Roman"/>
                <w:sz w:val="24"/>
              </w:rPr>
              <w:t xml:space="preserve"> (1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12</w:t>
            </w:r>
            <w:r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 w:hint="eastAsia"/>
                <w:sz w:val="24"/>
              </w:rPr>
              <w:t>1.90</w:t>
            </w:r>
            <w:r w:rsidRPr="003F56AB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0.005</w:t>
            </w:r>
          </w:p>
        </w:tc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 w:rsidRPr="003F56A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hint="eastAsia"/>
                <w:sz w:val="24"/>
                <w:szCs w:val="24"/>
              </w:rPr>
              <w:t>45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hint="eastAsia"/>
                <w:sz w:val="24"/>
                <w:szCs w:val="24"/>
              </w:rPr>
              <w:t>10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hint="eastAsia"/>
                <w:sz w:val="24"/>
                <w:szCs w:val="24"/>
              </w:rPr>
              <w:t>91</w:t>
            </w:r>
            <w:r w:rsidRPr="003F56A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0.009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 w:rsidRPr="003F56AB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 w:hint="eastAsia"/>
                <w:sz w:val="24"/>
              </w:rPr>
              <w:t>38</w:t>
            </w:r>
            <w:r w:rsidRPr="003F56AB">
              <w:rPr>
                <w:rFonts w:ascii="Times New Roman" w:hAnsi="Times New Roman"/>
                <w:sz w:val="24"/>
              </w:rPr>
              <w:t xml:space="preserve"> (1</w:t>
            </w:r>
            <w:r>
              <w:rPr>
                <w:rFonts w:ascii="Times New Roman" w:hAnsi="Times New Roman"/>
                <w:sz w:val="24"/>
              </w:rPr>
              <w:t>.0</w:t>
            </w:r>
            <w:r>
              <w:rPr>
                <w:rFonts w:ascii="Times New Roman" w:hAnsi="Times New Roman" w:hint="eastAsia"/>
                <w:sz w:val="24"/>
              </w:rPr>
              <w:t>4</w:t>
            </w:r>
            <w:r w:rsidRPr="003F56AB">
              <w:rPr>
                <w:rFonts w:ascii="Times New Roman" w:hAnsi="Times New Roman"/>
                <w:sz w:val="24"/>
              </w:rPr>
              <w:t>-1</w:t>
            </w:r>
            <w:r>
              <w:rPr>
                <w:rFonts w:ascii="Times New Roman" w:hAnsi="Times New Roman"/>
                <w:sz w:val="24"/>
              </w:rPr>
              <w:t>.8</w:t>
            </w:r>
            <w:r>
              <w:rPr>
                <w:rFonts w:ascii="Times New Roman" w:hAnsi="Times New Roman" w:hint="eastAsia"/>
                <w:sz w:val="24"/>
              </w:rPr>
              <w:t>3</w:t>
            </w:r>
            <w:r w:rsidRPr="003F56AB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F6CFF" w:rsidRPr="003F56AB" w:rsidRDefault="00DF6CFF" w:rsidP="00DB6F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0.027</w:t>
            </w:r>
          </w:p>
        </w:tc>
      </w:tr>
    </w:tbl>
    <w:p w:rsidR="00DF6CFF" w:rsidRPr="003F56AB" w:rsidRDefault="00DF6CFF" w:rsidP="00DF6CFF">
      <w:pPr>
        <w:rPr>
          <w:rFonts w:ascii="Times New Roman" w:hAnsi="Times New Roman"/>
          <w:color w:val="000000"/>
          <w:sz w:val="24"/>
          <w:szCs w:val="14"/>
        </w:rPr>
      </w:pPr>
      <w:r w:rsidRPr="003F56AB">
        <w:rPr>
          <w:rFonts w:ascii="Times New Roman" w:hAnsi="Times New Roman"/>
          <w:sz w:val="24"/>
          <w:szCs w:val="24"/>
        </w:rPr>
        <w:t xml:space="preserve">NOTE. Patients with missing information on insurance type </w:t>
      </w:r>
      <w:r w:rsidRPr="003F56AB">
        <w:rPr>
          <w:rFonts w:ascii="Times New Roman" w:hAnsi="Times New Roman"/>
          <w:color w:val="000000"/>
          <w:sz w:val="24"/>
          <w:szCs w:val="14"/>
        </w:rPr>
        <w:t>(N=147, 1</w:t>
      </w:r>
      <w:r>
        <w:rPr>
          <w:rFonts w:ascii="Times New Roman" w:hAnsi="Times New Roman"/>
          <w:color w:val="000000"/>
          <w:sz w:val="24"/>
          <w:szCs w:val="14"/>
        </w:rPr>
        <w:t>.</w:t>
      </w:r>
      <w:r w:rsidRPr="003F56AB">
        <w:rPr>
          <w:rFonts w:ascii="Times New Roman" w:hAnsi="Times New Roman"/>
          <w:color w:val="000000"/>
          <w:sz w:val="24"/>
          <w:szCs w:val="14"/>
        </w:rPr>
        <w:t>98%) or reimbursement rate (N=569, 7</w:t>
      </w:r>
      <w:r>
        <w:rPr>
          <w:rFonts w:ascii="Times New Roman" w:hAnsi="Times New Roman"/>
          <w:color w:val="000000"/>
          <w:sz w:val="24"/>
          <w:szCs w:val="14"/>
        </w:rPr>
        <w:t>.</w:t>
      </w:r>
      <w:r w:rsidRPr="003F56AB">
        <w:rPr>
          <w:rFonts w:ascii="Times New Roman" w:hAnsi="Times New Roman"/>
          <w:color w:val="000000"/>
          <w:sz w:val="24"/>
          <w:szCs w:val="14"/>
        </w:rPr>
        <w:t>65%) or</w:t>
      </w:r>
      <w:r w:rsidRPr="003F56AB">
        <w:rPr>
          <w:rFonts w:ascii="Times New Roman" w:hAnsi="Times New Roman"/>
          <w:sz w:val="24"/>
          <w:szCs w:val="24"/>
        </w:rPr>
        <w:t xml:space="preserve"> zip code (N=10, 0</w:t>
      </w:r>
      <w:r>
        <w:rPr>
          <w:rFonts w:ascii="Times New Roman" w:hAnsi="Times New Roman"/>
          <w:sz w:val="24"/>
          <w:szCs w:val="24"/>
        </w:rPr>
        <w:t>.</w:t>
      </w:r>
      <w:r w:rsidRPr="003F56AB">
        <w:rPr>
          <w:rFonts w:ascii="Times New Roman" w:hAnsi="Times New Roman"/>
          <w:sz w:val="24"/>
          <w:szCs w:val="24"/>
        </w:rPr>
        <w:t>13%)</w:t>
      </w:r>
      <w:r w:rsidRPr="003F56AB">
        <w:rPr>
          <w:rFonts w:ascii="Times New Roman" w:hAnsi="Times New Roman"/>
          <w:color w:val="000000"/>
          <w:sz w:val="24"/>
          <w:szCs w:val="14"/>
        </w:rPr>
        <w:t xml:space="preserve"> were not included for the corresponding analysis. </w:t>
      </w:r>
    </w:p>
    <w:p w:rsidR="00DF6CFF" w:rsidRPr="003F56AB" w:rsidRDefault="00DF6CFF" w:rsidP="00DF6CFF">
      <w:pPr>
        <w:rPr>
          <w:szCs w:val="24"/>
        </w:rPr>
      </w:pPr>
      <w:r w:rsidRPr="003F56AB">
        <w:rPr>
          <w:rFonts w:ascii="Times New Roman" w:hAnsi="Times New Roman"/>
          <w:sz w:val="24"/>
          <w:szCs w:val="24"/>
        </w:rPr>
        <w:t>Abbreviations: N, number; Rate, mortality rate (per 100 person-years); HR,</w:t>
      </w:r>
      <w:r w:rsidRPr="003F56AB">
        <w:rPr>
          <w:rFonts w:ascii="Times New Roman" w:hAnsi="Times New Roman"/>
          <w:sz w:val="24"/>
          <w:szCs w:val="24"/>
          <w:shd w:val="clear" w:color="auto" w:fill="FFFFFF"/>
        </w:rPr>
        <w:t xml:space="preserve"> hazard ratio; CI, confidence interval</w:t>
      </w:r>
      <w:r w:rsidRPr="003F56AB">
        <w:rPr>
          <w:rFonts w:ascii="Times New Roman" w:hAnsi="Times New Roman"/>
          <w:sz w:val="24"/>
          <w:szCs w:val="24"/>
        </w:rPr>
        <w:t>.</w:t>
      </w:r>
    </w:p>
    <w:p w:rsidR="00DF6CFF" w:rsidRPr="003F56AB" w:rsidRDefault="00DF6CFF" w:rsidP="00DF6CFF">
      <w:pPr>
        <w:rPr>
          <w:rFonts w:ascii="Times New Roman" w:hAnsi="Times New Roman"/>
          <w:sz w:val="24"/>
          <w:szCs w:val="24"/>
        </w:rPr>
      </w:pPr>
      <w:r w:rsidRPr="003F56AB">
        <w:rPr>
          <w:rFonts w:ascii="Times New Roman" w:hAnsi="Times New Roman"/>
          <w:b/>
          <w:sz w:val="24"/>
          <w:szCs w:val="24"/>
          <w:vertAlign w:val="superscript"/>
        </w:rPr>
        <w:t>†</w:t>
      </w:r>
      <w:r w:rsidRPr="003F56AB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3F56AB">
        <w:rPr>
          <w:rFonts w:ascii="Times New Roman" w:hAnsi="Times New Roman"/>
          <w:sz w:val="24"/>
          <w:szCs w:val="24"/>
        </w:rPr>
        <w:t xml:space="preserve">HRs were adjusted for age at diagnosis, </w:t>
      </w:r>
      <w:r>
        <w:rPr>
          <w:rFonts w:ascii="Times New Roman" w:hAnsi="Times New Roman"/>
          <w:sz w:val="24"/>
          <w:szCs w:val="24"/>
        </w:rPr>
        <w:t>calendar year</w:t>
      </w:r>
      <w:r w:rsidRPr="00B533D8">
        <w:rPr>
          <w:rFonts w:ascii="Times New Roman" w:hAnsi="Times New Roman"/>
          <w:sz w:val="24"/>
          <w:szCs w:val="24"/>
        </w:rPr>
        <w:t xml:space="preserve"> at diagnosis</w:t>
      </w:r>
      <w:r>
        <w:rPr>
          <w:rFonts w:ascii="Times New Roman" w:hAnsi="Times New Roman" w:hint="eastAsia"/>
          <w:sz w:val="24"/>
          <w:szCs w:val="24"/>
        </w:rPr>
        <w:t xml:space="preserve"> (2009-2012 or 2013-2016)</w:t>
      </w:r>
      <w:r w:rsidRPr="00B533D8">
        <w:rPr>
          <w:rFonts w:ascii="Times New Roman" w:hAnsi="Times New Roman"/>
          <w:sz w:val="24"/>
          <w:szCs w:val="24"/>
        </w:rPr>
        <w:t>,</w:t>
      </w:r>
      <w:r w:rsidRPr="003F56AB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3F56AB">
        <w:rPr>
          <w:rFonts w:ascii="Times New Roman" w:hAnsi="Times New Roman"/>
          <w:sz w:val="24"/>
          <w:szCs w:val="24"/>
        </w:rPr>
        <w:t>ethnic group (majority or minority/unknown), education (&gt;6 years, or ≤6 years/unknown), and marital status (married or non-married), as well as stratifying on area of residence using zip code as a proxy for socioeconomic status.</w:t>
      </w:r>
    </w:p>
    <w:p w:rsidR="00DF6CFF" w:rsidRPr="003F56AB" w:rsidRDefault="00DF6CFF" w:rsidP="00DF6CFF">
      <w:pPr>
        <w:rPr>
          <w:rFonts w:ascii="Times New Roman" w:hAnsi="Times New Roman"/>
          <w:sz w:val="24"/>
          <w:szCs w:val="24"/>
        </w:rPr>
      </w:pPr>
      <w:r w:rsidRPr="003F56AB">
        <w:rPr>
          <w:rFonts w:ascii="Times New Roman" w:hAnsi="Times New Roman" w:hint="eastAsia"/>
          <w:b/>
          <w:sz w:val="24"/>
          <w:szCs w:val="24"/>
          <w:vertAlign w:val="superscript"/>
        </w:rPr>
        <w:lastRenderedPageBreak/>
        <w:t>‡</w:t>
      </w:r>
      <w:r w:rsidRPr="003F56AB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3F56AB">
        <w:rPr>
          <w:rFonts w:ascii="Times New Roman" w:hAnsi="Times New Roman"/>
          <w:sz w:val="24"/>
          <w:szCs w:val="24"/>
        </w:rPr>
        <w:t>HRs were additionally adjusted for comorbidity (no or yes), hormone receptor status (negative, positive, or unknown), HER2 status (negative, positive, or unknown), Ki-67 level (&lt;14%, ≥14%, or unknown), histological type (ductal or other types/unknown), tumor stage (I, II, III, IV, or unknown)</w:t>
      </w:r>
      <w:r w:rsidRPr="003F56AB">
        <w:t xml:space="preserve"> </w:t>
      </w:r>
      <w:r w:rsidRPr="003F56AB">
        <w:rPr>
          <w:rFonts w:ascii="Times New Roman" w:hAnsi="Times New Roman"/>
          <w:sz w:val="24"/>
          <w:szCs w:val="24"/>
        </w:rPr>
        <w:t>, as well as stratifying on area of residence using zip code as a proxy for socioeconomic status.</w:t>
      </w:r>
    </w:p>
    <w:p w:rsidR="00365864" w:rsidRPr="00DF6CFF" w:rsidRDefault="000D0AE4">
      <w:bookmarkStart w:id="0" w:name="_GoBack"/>
      <w:bookmarkEnd w:id="0"/>
    </w:p>
    <w:sectPr w:rsidR="00365864" w:rsidRPr="00DF6CFF" w:rsidSect="00DF6CF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AE4" w:rsidRDefault="000D0AE4" w:rsidP="00DF6CFF">
      <w:r>
        <w:separator/>
      </w:r>
    </w:p>
  </w:endnote>
  <w:endnote w:type="continuationSeparator" w:id="0">
    <w:p w:rsidR="000D0AE4" w:rsidRDefault="000D0AE4" w:rsidP="00DF6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AE4" w:rsidRDefault="000D0AE4" w:rsidP="00DF6CFF">
      <w:r>
        <w:separator/>
      </w:r>
    </w:p>
  </w:footnote>
  <w:footnote w:type="continuationSeparator" w:id="0">
    <w:p w:rsidR="000D0AE4" w:rsidRDefault="000D0AE4" w:rsidP="00DF6C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B8B"/>
    <w:rsid w:val="000D0AE4"/>
    <w:rsid w:val="007F39DE"/>
    <w:rsid w:val="00DF6CFF"/>
    <w:rsid w:val="00EC5082"/>
    <w:rsid w:val="00F9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CF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6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6C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6C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6C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CF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6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6C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6C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6C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2020-02-21T14:17:00Z</dcterms:created>
  <dcterms:modified xsi:type="dcterms:W3CDTF">2020-02-21T14:17:00Z</dcterms:modified>
</cp:coreProperties>
</file>